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A12" w:rsidRPr="00123A12" w:rsidRDefault="00123A12" w:rsidP="00123A12">
      <w:pPr>
        <w:pStyle w:val="a4"/>
        <w:spacing w:before="0" w:beforeAutospacing="0" w:after="0" w:afterAutospacing="0" w:line="360" w:lineRule="auto"/>
        <w:jc w:val="center"/>
        <w:rPr>
          <w:rFonts w:asciiTheme="minorEastAsia" w:eastAsiaTheme="minorEastAsia" w:hAnsiTheme="minorEastAsia" w:hint="eastAsia"/>
          <w:b/>
          <w:sz w:val="32"/>
          <w:szCs w:val="32"/>
        </w:rPr>
      </w:pPr>
      <w:r w:rsidRPr="00123A12">
        <w:rPr>
          <w:rFonts w:asciiTheme="minorEastAsia" w:eastAsiaTheme="minorEastAsia" w:hAnsiTheme="minorEastAsia" w:hint="eastAsia"/>
          <w:b/>
          <w:sz w:val="32"/>
          <w:szCs w:val="32"/>
        </w:rPr>
        <w:t>TCL集团</w:t>
      </w:r>
      <w:r w:rsidRPr="00123A12">
        <w:rPr>
          <w:rFonts w:asciiTheme="minorEastAsia" w:eastAsiaTheme="minorEastAsia" w:hAnsiTheme="minorEastAsia"/>
          <w:b/>
          <w:sz w:val="32"/>
          <w:szCs w:val="32"/>
        </w:rPr>
        <w:t>企业社会责任报告简介</w:t>
      </w:r>
      <w:bookmarkStart w:id="0" w:name="_GoBack"/>
      <w:bookmarkEnd w:id="0"/>
    </w:p>
    <w:p w:rsidR="008453D4" w:rsidRDefault="00123A12" w:rsidP="00123A12">
      <w:pPr>
        <w:pStyle w:val="a4"/>
        <w:spacing w:before="0" w:beforeAutospacing="0" w:after="0" w:afterAutospacing="0" w:line="360" w:lineRule="auto"/>
        <w:rPr>
          <w:rFonts w:asciiTheme="minorEastAsia" w:eastAsiaTheme="minorEastAsia" w:hAnsiTheme="minorEastAsia"/>
          <w:sz w:val="21"/>
          <w:szCs w:val="21"/>
        </w:rPr>
      </w:pPr>
      <w:r w:rsidRPr="00123A12">
        <w:rPr>
          <w:rFonts w:asciiTheme="minorEastAsia" w:eastAsiaTheme="minorEastAsia" w:hAnsiTheme="minorEastAsia" w:hint="eastAsia"/>
          <w:sz w:val="21"/>
          <w:szCs w:val="21"/>
        </w:rPr>
        <w:t>3月19日，TCL集团股份有限公司（SZ.000100）发布</w:t>
      </w:r>
      <w:r w:rsidRPr="00123A12">
        <w:rPr>
          <w:rFonts w:hint="eastAsia"/>
          <w:b/>
          <w:bCs/>
        </w:rPr>
        <w:t>《TCL集团2018年企业社会责任报告》</w:t>
      </w:r>
      <w:r w:rsidRPr="00123A12">
        <w:rPr>
          <w:rFonts w:asciiTheme="minorEastAsia" w:eastAsiaTheme="minorEastAsia" w:hAnsiTheme="minorEastAsia" w:hint="eastAsia"/>
          <w:sz w:val="21"/>
          <w:szCs w:val="21"/>
        </w:rPr>
        <w:t>（以下简称“报告”），这已是TCL集团连续第11年发布年度企业社会责任报告。报告总结了过去一年TCL在技术创新、员工权益保护与发展、责任供应链、环境保护、社会公益5个领域的履</w:t>
      </w:r>
      <w:proofErr w:type="gramStart"/>
      <w:r w:rsidRPr="00123A12">
        <w:rPr>
          <w:rFonts w:asciiTheme="minorEastAsia" w:eastAsiaTheme="minorEastAsia" w:hAnsiTheme="minorEastAsia" w:hint="eastAsia"/>
          <w:sz w:val="21"/>
          <w:szCs w:val="21"/>
        </w:rPr>
        <w:t>责行动</w:t>
      </w:r>
      <w:proofErr w:type="gramEnd"/>
      <w:r w:rsidRPr="00123A12">
        <w:rPr>
          <w:rFonts w:asciiTheme="minorEastAsia" w:eastAsiaTheme="minorEastAsia" w:hAnsiTheme="minorEastAsia" w:hint="eastAsia"/>
          <w:sz w:val="21"/>
          <w:szCs w:val="21"/>
        </w:rPr>
        <w:t>及绩效。</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hint="eastAsia"/>
          <w:sz w:val="21"/>
          <w:szCs w:val="21"/>
        </w:rPr>
      </w:pPr>
    </w:p>
    <w:p w:rsidR="00123A12" w:rsidRPr="00123A12" w:rsidRDefault="00123A12" w:rsidP="00123A12">
      <w:pPr>
        <w:spacing w:line="360" w:lineRule="auto"/>
        <w:rPr>
          <w:rStyle w:val="a3"/>
          <w:rFonts w:ascii="宋体" w:eastAsia="宋体" w:hAnsi="宋体" w:cs="宋体" w:hint="eastAsia"/>
          <w:bCs w:val="0"/>
          <w:kern w:val="0"/>
          <w:sz w:val="24"/>
          <w:szCs w:val="24"/>
        </w:rPr>
      </w:pPr>
      <w:r w:rsidRPr="00123A12">
        <w:rPr>
          <w:rStyle w:val="a3"/>
          <w:rFonts w:ascii="宋体" w:eastAsia="宋体" w:hAnsi="宋体" w:cs="宋体" w:hint="eastAsia"/>
          <w:bCs w:val="0"/>
          <w:kern w:val="0"/>
          <w:sz w:val="24"/>
          <w:szCs w:val="24"/>
        </w:rPr>
        <w:t>1、</w:t>
      </w:r>
      <w:r w:rsidRPr="00123A12">
        <w:rPr>
          <w:rStyle w:val="a3"/>
          <w:rFonts w:ascii="宋体" w:eastAsia="宋体" w:hAnsi="宋体" w:cs="宋体" w:hint="eastAsia"/>
          <w:bCs w:val="0"/>
          <w:kern w:val="0"/>
          <w:sz w:val="24"/>
          <w:szCs w:val="24"/>
        </w:rPr>
        <w:t>推动技术创新</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hint="eastAsia"/>
          <w:sz w:val="21"/>
          <w:szCs w:val="21"/>
        </w:rPr>
      </w:pPr>
      <w:r w:rsidRPr="00123A12">
        <w:rPr>
          <w:rFonts w:asciiTheme="minorEastAsia" w:eastAsiaTheme="minorEastAsia" w:hAnsiTheme="minorEastAsia" w:hint="eastAsia"/>
          <w:sz w:val="21"/>
          <w:szCs w:val="21"/>
        </w:rPr>
        <w:t>TCL坚持立足实业，并以创新为动力，持续推出高质产品，注重产品生命周期的客户服务，全方位满足消费者需求。</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hint="eastAsia"/>
          <w:sz w:val="21"/>
          <w:szCs w:val="21"/>
        </w:rPr>
      </w:pPr>
      <w:r w:rsidRPr="00123A12">
        <w:rPr>
          <w:rFonts w:asciiTheme="minorEastAsia" w:eastAsiaTheme="minorEastAsia" w:hAnsiTheme="minorEastAsia" w:hint="eastAsia"/>
          <w:sz w:val="21"/>
          <w:szCs w:val="21"/>
        </w:rPr>
        <w:t>2018年，TCL集团营业收入达1,133.6亿元，研发投入56.7亿。集团及主要产业共提交申请PCT国际专利申请1,607件，累计申请9,990件，覆盖欧洲、美国、韩国等国家和地区，核心技术专利能力居中国企业领先水平。集团在量子点电致发光领域的公开专利数量为757件，居全球第二名。</w:t>
      </w:r>
    </w:p>
    <w:p w:rsidR="00123A12" w:rsidRDefault="00123A12" w:rsidP="00123A12">
      <w:pPr>
        <w:pStyle w:val="a4"/>
        <w:spacing w:before="0" w:beforeAutospacing="0" w:after="0" w:afterAutospacing="0" w:line="360" w:lineRule="auto"/>
        <w:rPr>
          <w:rStyle w:val="a3"/>
          <w:b w:val="0"/>
          <w:bCs w:val="0"/>
        </w:rPr>
      </w:pPr>
      <w:r w:rsidRPr="00123A12">
        <w:rPr>
          <w:rFonts w:asciiTheme="minorEastAsia" w:eastAsiaTheme="minorEastAsia" w:hAnsiTheme="minorEastAsia" w:hint="eastAsia"/>
          <w:sz w:val="21"/>
          <w:szCs w:val="21"/>
        </w:rPr>
        <w:t>客户是TCL战略的核心。TCL以创新为动力，为消费者提供智能化、多样化的贴心产品与服务，满足不同客户日益增长的需求。2018年，TCL通过大数据、互联网、人工智能等技术对客户服务进行升级，消费者满意度达97.8%。</w:t>
      </w:r>
      <w:r w:rsidRPr="00123A12">
        <w:rPr>
          <w:rFonts w:asciiTheme="minorEastAsia" w:eastAsiaTheme="minorEastAsia" w:hAnsiTheme="minorEastAsia"/>
          <w:sz w:val="21"/>
          <w:szCs w:val="21"/>
        </w:rPr>
        <w:br/>
      </w:r>
    </w:p>
    <w:p w:rsidR="00123A12" w:rsidRPr="00123A12" w:rsidRDefault="00123A12" w:rsidP="00123A12">
      <w:pPr>
        <w:pStyle w:val="a4"/>
        <w:spacing w:before="0" w:beforeAutospacing="0" w:after="0" w:afterAutospacing="0" w:line="360" w:lineRule="auto"/>
        <w:rPr>
          <w:rFonts w:asciiTheme="minorEastAsia" w:eastAsiaTheme="minorEastAsia" w:hAnsiTheme="minorEastAsia" w:hint="eastAsia"/>
          <w:sz w:val="21"/>
          <w:szCs w:val="21"/>
        </w:rPr>
      </w:pPr>
      <w:r w:rsidRPr="00123A12">
        <w:rPr>
          <w:rStyle w:val="a3"/>
          <w:bCs w:val="0"/>
        </w:rPr>
        <w:t>2</w:t>
      </w:r>
      <w:r w:rsidRPr="00123A12">
        <w:rPr>
          <w:rStyle w:val="a3"/>
          <w:rFonts w:hint="eastAsia"/>
          <w:bCs w:val="0"/>
        </w:rPr>
        <w:t>、</w:t>
      </w:r>
      <w:proofErr w:type="gramStart"/>
      <w:r w:rsidRPr="00123A12">
        <w:rPr>
          <w:rStyle w:val="a3"/>
          <w:rFonts w:hint="eastAsia"/>
          <w:bCs w:val="0"/>
        </w:rPr>
        <w:t>助力员工</w:t>
      </w:r>
      <w:proofErr w:type="gramEnd"/>
      <w:r w:rsidRPr="00123A12">
        <w:rPr>
          <w:rStyle w:val="a3"/>
          <w:rFonts w:hint="eastAsia"/>
          <w:bCs w:val="0"/>
        </w:rPr>
        <w:t>发展</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hint="eastAsia"/>
          <w:sz w:val="21"/>
          <w:szCs w:val="21"/>
        </w:rPr>
      </w:pPr>
      <w:r w:rsidRPr="00123A12">
        <w:rPr>
          <w:rFonts w:asciiTheme="minorEastAsia" w:eastAsiaTheme="minorEastAsia" w:hAnsiTheme="minorEastAsia" w:hint="eastAsia"/>
          <w:sz w:val="21"/>
          <w:szCs w:val="21"/>
        </w:rPr>
        <w:t>TCL坚持以人为本，致力于打造平等、安全、舒适的工作环境，成立TCL</w:t>
      </w:r>
      <w:r w:rsidRPr="00123A12">
        <w:rPr>
          <w:rFonts w:asciiTheme="minorEastAsia" w:eastAsiaTheme="minorEastAsia" w:hAnsiTheme="minorEastAsia" w:hint="eastAsia"/>
          <w:sz w:val="21"/>
          <w:szCs w:val="21"/>
        </w:rPr>
        <w:t>大学并通过</w:t>
      </w:r>
      <w:proofErr w:type="gramStart"/>
      <w:r w:rsidRPr="00123A12">
        <w:rPr>
          <w:rFonts w:asciiTheme="minorEastAsia" w:eastAsiaTheme="minorEastAsia" w:hAnsiTheme="minorEastAsia" w:hint="eastAsia"/>
          <w:sz w:val="21"/>
          <w:szCs w:val="21"/>
        </w:rPr>
        <w:t>鹰系人才</w:t>
      </w:r>
      <w:proofErr w:type="gramEnd"/>
      <w:r w:rsidRPr="00123A12">
        <w:rPr>
          <w:rFonts w:asciiTheme="minorEastAsia" w:eastAsiaTheme="minorEastAsia" w:hAnsiTheme="minorEastAsia" w:hint="eastAsia"/>
          <w:sz w:val="21"/>
          <w:szCs w:val="21"/>
        </w:rPr>
        <w:t>培养体系等机制</w:t>
      </w:r>
      <w:proofErr w:type="gramStart"/>
      <w:r w:rsidRPr="00123A12">
        <w:rPr>
          <w:rFonts w:asciiTheme="minorEastAsia" w:eastAsiaTheme="minorEastAsia" w:hAnsiTheme="minorEastAsia" w:hint="eastAsia"/>
          <w:sz w:val="21"/>
          <w:szCs w:val="21"/>
        </w:rPr>
        <w:t>助力员工</w:t>
      </w:r>
      <w:proofErr w:type="gramEnd"/>
      <w:r w:rsidRPr="00123A12">
        <w:rPr>
          <w:rFonts w:asciiTheme="minorEastAsia" w:eastAsiaTheme="minorEastAsia" w:hAnsiTheme="minorEastAsia" w:hint="eastAsia"/>
          <w:sz w:val="21"/>
          <w:szCs w:val="21"/>
        </w:rPr>
        <w:t>成长。</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hint="eastAsia"/>
          <w:sz w:val="21"/>
          <w:szCs w:val="21"/>
        </w:rPr>
      </w:pPr>
      <w:r w:rsidRPr="00123A12">
        <w:rPr>
          <w:rFonts w:asciiTheme="minorEastAsia" w:eastAsiaTheme="minorEastAsia" w:hAnsiTheme="minorEastAsia" w:hint="eastAsia"/>
          <w:sz w:val="21"/>
          <w:szCs w:val="21"/>
        </w:rPr>
        <w:t>2018年，TCL集团荣获“中国卓越国际人才培养雇主”奖，并入选福布斯2018年世界最佳雇主榜。</w:t>
      </w:r>
    </w:p>
    <w:p w:rsidR="00123A12" w:rsidRDefault="00123A12" w:rsidP="00123A12">
      <w:pPr>
        <w:pStyle w:val="a4"/>
        <w:spacing w:before="0" w:beforeAutospacing="0" w:after="0" w:afterAutospacing="0"/>
        <w:rPr>
          <w:rStyle w:val="a3"/>
          <w:b w:val="0"/>
          <w:bCs w:val="0"/>
        </w:rPr>
      </w:pPr>
    </w:p>
    <w:p w:rsidR="00123A12" w:rsidRPr="00123A12" w:rsidRDefault="00123A12" w:rsidP="00123A12">
      <w:pPr>
        <w:pStyle w:val="a4"/>
        <w:spacing w:before="0" w:beforeAutospacing="0" w:after="0" w:afterAutospacing="0"/>
        <w:rPr>
          <w:rStyle w:val="a3"/>
        </w:rPr>
      </w:pPr>
      <w:r w:rsidRPr="00123A12">
        <w:rPr>
          <w:rStyle w:val="a3"/>
          <w:bCs w:val="0"/>
        </w:rPr>
        <w:t>3</w:t>
      </w:r>
      <w:r w:rsidRPr="00123A12">
        <w:rPr>
          <w:rStyle w:val="a3"/>
          <w:rFonts w:hint="eastAsia"/>
          <w:bCs w:val="0"/>
        </w:rPr>
        <w:t>、</w:t>
      </w:r>
      <w:r w:rsidRPr="00123A12">
        <w:rPr>
          <w:rStyle w:val="a3"/>
          <w:bCs w:val="0"/>
        </w:rPr>
        <w:t>供应</w:t>
      </w:r>
      <w:proofErr w:type="gramStart"/>
      <w:r w:rsidRPr="00123A12">
        <w:rPr>
          <w:rStyle w:val="a3"/>
          <w:bCs w:val="0"/>
        </w:rPr>
        <w:t>链责任</w:t>
      </w:r>
      <w:proofErr w:type="gramEnd"/>
      <w:r w:rsidRPr="00123A12">
        <w:rPr>
          <w:rStyle w:val="a3"/>
          <w:bCs w:val="0"/>
        </w:rPr>
        <w:t>管理与合作</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hint="eastAsia"/>
          <w:sz w:val="21"/>
          <w:szCs w:val="21"/>
        </w:rPr>
      </w:pPr>
      <w:r w:rsidRPr="00123A12">
        <w:rPr>
          <w:rFonts w:asciiTheme="minorEastAsia" w:eastAsiaTheme="minorEastAsia" w:hAnsiTheme="minorEastAsia" w:hint="eastAsia"/>
          <w:sz w:val="21"/>
          <w:szCs w:val="21"/>
        </w:rPr>
        <w:t>TCL相信合作共赢可以创造更大、更可持续的价值。在供应链管理方面，TCL坚持责任采购的原则，建立了严格完善的供应链管理机制，对供应商的劳工人权、健康安全、环境、商业道德等社会责任议题进行管理。</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hint="eastAsia"/>
          <w:sz w:val="21"/>
          <w:szCs w:val="21"/>
        </w:rPr>
      </w:pPr>
      <w:r w:rsidRPr="00123A12">
        <w:rPr>
          <w:rFonts w:asciiTheme="minorEastAsia" w:eastAsiaTheme="minorEastAsia" w:hAnsiTheme="minorEastAsia" w:hint="eastAsia"/>
          <w:sz w:val="21"/>
          <w:szCs w:val="21"/>
        </w:rPr>
        <w:t>为了解决TCL产业生态圈中中小企业“银行触达难，申请贷款难，获取商票、商业信用成本高”的问题，TCL金融“简单汇”平台应运而生，自成立以来，“简单汇”始终坚守“搭建资金融通桥梁、助力中小微企业发展”的定位。截至2018年，“简单汇”已有注册</w:t>
      </w:r>
      <w:r w:rsidRPr="00123A12">
        <w:rPr>
          <w:rFonts w:asciiTheme="minorEastAsia" w:eastAsiaTheme="minorEastAsia" w:hAnsiTheme="minorEastAsia" w:hint="eastAsia"/>
          <w:sz w:val="21"/>
          <w:szCs w:val="21"/>
        </w:rPr>
        <w:lastRenderedPageBreak/>
        <w:t>企业12,076家，同比增长78%。其中，中小</w:t>
      </w:r>
      <w:proofErr w:type="gramStart"/>
      <w:r w:rsidRPr="00123A12">
        <w:rPr>
          <w:rFonts w:asciiTheme="minorEastAsia" w:eastAsiaTheme="minorEastAsia" w:hAnsiTheme="minorEastAsia" w:hint="eastAsia"/>
          <w:sz w:val="21"/>
          <w:szCs w:val="21"/>
        </w:rPr>
        <w:t>微企业</w:t>
      </w:r>
      <w:proofErr w:type="gramEnd"/>
      <w:r w:rsidRPr="00123A12">
        <w:rPr>
          <w:rFonts w:asciiTheme="minorEastAsia" w:eastAsiaTheme="minorEastAsia" w:hAnsiTheme="minorEastAsia" w:hint="eastAsia"/>
          <w:sz w:val="21"/>
          <w:szCs w:val="21"/>
        </w:rPr>
        <w:t>占比近9成，全年累计交易规模达到591亿，同比增长32%。</w:t>
      </w:r>
    </w:p>
    <w:p w:rsidR="00123A12" w:rsidRDefault="00123A12" w:rsidP="00123A12">
      <w:pPr>
        <w:pStyle w:val="a4"/>
        <w:shd w:val="clear" w:color="auto" w:fill="FFFFFF"/>
        <w:spacing w:before="0" w:beforeAutospacing="0" w:after="0" w:afterAutospacing="0"/>
        <w:jc w:val="both"/>
        <w:rPr>
          <w:b/>
          <w:bCs/>
          <w:color w:val="595757"/>
          <w:spacing w:val="30"/>
        </w:rPr>
      </w:pPr>
    </w:p>
    <w:p w:rsidR="00123A12" w:rsidRPr="00123A12" w:rsidRDefault="00123A12" w:rsidP="00123A12">
      <w:pPr>
        <w:pStyle w:val="a4"/>
        <w:spacing w:before="0" w:beforeAutospacing="0" w:after="0" w:afterAutospacing="0"/>
        <w:rPr>
          <w:rStyle w:val="a3"/>
        </w:rPr>
      </w:pPr>
      <w:r w:rsidRPr="00123A12">
        <w:rPr>
          <w:rStyle w:val="a3"/>
        </w:rPr>
        <w:t>4</w:t>
      </w:r>
      <w:r w:rsidRPr="00123A12">
        <w:rPr>
          <w:rStyle w:val="a3"/>
          <w:rFonts w:hint="eastAsia"/>
        </w:rPr>
        <w:t>、与自然和谐发展</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hint="eastAsia"/>
          <w:sz w:val="21"/>
          <w:szCs w:val="21"/>
        </w:rPr>
      </w:pPr>
      <w:r w:rsidRPr="00123A12">
        <w:rPr>
          <w:rFonts w:asciiTheme="minorEastAsia" w:eastAsiaTheme="minorEastAsia" w:hAnsiTheme="minorEastAsia" w:hint="eastAsia"/>
          <w:sz w:val="21"/>
          <w:szCs w:val="21"/>
        </w:rPr>
        <w:t>TCL集团承诺以环境保护为己任，推进节能减排，发展绿色生产和循环经济。</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hint="eastAsia"/>
          <w:sz w:val="21"/>
          <w:szCs w:val="21"/>
        </w:rPr>
      </w:pPr>
      <w:r w:rsidRPr="00123A12">
        <w:rPr>
          <w:rFonts w:asciiTheme="minorEastAsia" w:eastAsiaTheme="minorEastAsia" w:hAnsiTheme="minorEastAsia" w:hint="eastAsia"/>
          <w:sz w:val="21"/>
          <w:szCs w:val="21"/>
        </w:rPr>
        <w:t>2018年，集团下属主要产业通过能效提升、可再生能源利用等节能减</w:t>
      </w:r>
      <w:proofErr w:type="gramStart"/>
      <w:r w:rsidRPr="00123A12">
        <w:rPr>
          <w:rFonts w:asciiTheme="minorEastAsia" w:eastAsiaTheme="minorEastAsia" w:hAnsiTheme="minorEastAsia" w:hint="eastAsia"/>
          <w:sz w:val="21"/>
          <w:szCs w:val="21"/>
        </w:rPr>
        <w:t>排项目</w:t>
      </w:r>
      <w:proofErr w:type="gramEnd"/>
      <w:r w:rsidRPr="00123A12">
        <w:rPr>
          <w:rFonts w:asciiTheme="minorEastAsia" w:eastAsiaTheme="minorEastAsia" w:hAnsiTheme="minorEastAsia" w:hint="eastAsia"/>
          <w:sz w:val="21"/>
          <w:szCs w:val="21"/>
        </w:rPr>
        <w:t>共节约用电21,086.20万度，减少二氧化碳减排21.02万吨，节约用水1,897.15万吨，减少废水排放1887.58万吨，回收利用废弃物达30,899.89吨。</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sz w:val="21"/>
          <w:szCs w:val="21"/>
        </w:rPr>
      </w:pPr>
      <w:r w:rsidRPr="00123A12">
        <w:rPr>
          <w:rFonts w:asciiTheme="minorEastAsia" w:eastAsiaTheme="minorEastAsia" w:hAnsiTheme="minorEastAsia" w:hint="eastAsia"/>
          <w:sz w:val="21"/>
          <w:szCs w:val="21"/>
        </w:rPr>
        <w:t>包括深圳华星光电技术有限公司在内的4家主要生产基地入选工信部绿色制造名单，华</w:t>
      </w:r>
      <w:proofErr w:type="gramStart"/>
      <w:r w:rsidRPr="00123A12">
        <w:rPr>
          <w:rFonts w:asciiTheme="minorEastAsia" w:eastAsiaTheme="minorEastAsia" w:hAnsiTheme="minorEastAsia" w:hint="eastAsia"/>
          <w:sz w:val="21"/>
          <w:szCs w:val="21"/>
        </w:rPr>
        <w:t>星光电</w:t>
      </w:r>
      <w:proofErr w:type="gramEnd"/>
      <w:r w:rsidRPr="00123A12">
        <w:rPr>
          <w:rFonts w:asciiTheme="minorEastAsia" w:eastAsiaTheme="minorEastAsia" w:hAnsiTheme="minorEastAsia" w:hint="eastAsia"/>
          <w:sz w:val="21"/>
          <w:szCs w:val="21"/>
        </w:rPr>
        <w:t>第11代TFT-LCD及AMOLED新型显示器件生产线建设项目（简称“G11项目”）还获得了LEED铂金级和中国绿色建筑三星的最高</w:t>
      </w:r>
      <w:proofErr w:type="gramStart"/>
      <w:r w:rsidRPr="00123A12">
        <w:rPr>
          <w:rFonts w:asciiTheme="minorEastAsia" w:eastAsiaTheme="minorEastAsia" w:hAnsiTheme="minorEastAsia" w:hint="eastAsia"/>
          <w:sz w:val="21"/>
          <w:szCs w:val="21"/>
        </w:rPr>
        <w:t>等级双</w:t>
      </w:r>
      <w:proofErr w:type="gramEnd"/>
      <w:r w:rsidRPr="00123A12">
        <w:rPr>
          <w:rFonts w:asciiTheme="minorEastAsia" w:eastAsiaTheme="minorEastAsia" w:hAnsiTheme="minorEastAsia" w:hint="eastAsia"/>
          <w:sz w:val="21"/>
          <w:szCs w:val="21"/>
        </w:rPr>
        <w:t>认证。</w:t>
      </w:r>
    </w:p>
    <w:p w:rsidR="00123A12" w:rsidRPr="00123A12" w:rsidRDefault="00123A12" w:rsidP="00123A12">
      <w:pPr>
        <w:pStyle w:val="a4"/>
        <w:shd w:val="clear" w:color="auto" w:fill="FFFFFF"/>
        <w:spacing w:before="0" w:beforeAutospacing="0" w:after="0" w:afterAutospacing="0"/>
        <w:jc w:val="both"/>
        <w:rPr>
          <w:rFonts w:asciiTheme="minorEastAsia" w:eastAsiaTheme="minorEastAsia" w:hAnsiTheme="minorEastAsia" w:hint="eastAsia"/>
          <w:color w:val="595757"/>
          <w:spacing w:val="30"/>
          <w:sz w:val="21"/>
          <w:szCs w:val="21"/>
        </w:rPr>
      </w:pPr>
    </w:p>
    <w:p w:rsidR="00123A12" w:rsidRPr="00123A12" w:rsidRDefault="00123A12" w:rsidP="00123A12">
      <w:pPr>
        <w:pStyle w:val="a4"/>
        <w:spacing w:before="0" w:beforeAutospacing="0" w:after="0" w:afterAutospacing="0"/>
        <w:rPr>
          <w:rStyle w:val="a3"/>
        </w:rPr>
      </w:pPr>
      <w:r w:rsidRPr="00123A12">
        <w:rPr>
          <w:rStyle w:val="a3"/>
          <w:rFonts w:hint="eastAsia"/>
        </w:rPr>
        <w:t>5、温暖关怀，和谐社区</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sz w:val="21"/>
          <w:szCs w:val="21"/>
        </w:rPr>
      </w:pPr>
      <w:r w:rsidRPr="00123A12">
        <w:rPr>
          <w:rFonts w:asciiTheme="minorEastAsia" w:eastAsiaTheme="minorEastAsia" w:hAnsiTheme="minorEastAsia"/>
          <w:sz w:val="21"/>
          <w:szCs w:val="21"/>
        </w:rPr>
        <w:t>在社会公益领域，TCL专注于精准教育扶贫、环境保护、社区建设等领域。</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sz w:val="21"/>
          <w:szCs w:val="21"/>
        </w:rPr>
      </w:pPr>
      <w:r w:rsidRPr="00123A12">
        <w:rPr>
          <w:rFonts w:asciiTheme="minorEastAsia" w:eastAsiaTheme="minorEastAsia" w:hAnsiTheme="minorEastAsia"/>
          <w:sz w:val="21"/>
          <w:szCs w:val="21"/>
        </w:rPr>
        <w:t>2018年，TCL集团旗下TCL公益基金会对外捐赠总额</w:t>
      </w:r>
      <w:r w:rsidRPr="00123A12">
        <w:rPr>
          <w:rFonts w:asciiTheme="minorEastAsia" w:eastAsiaTheme="minorEastAsia" w:hAnsiTheme="minorEastAsia"/>
          <w:color w:val="CC3317"/>
          <w:sz w:val="21"/>
          <w:szCs w:val="21"/>
        </w:rPr>
        <w:t>超过1,816.36万元</w:t>
      </w:r>
      <w:r w:rsidRPr="00123A12">
        <w:rPr>
          <w:rFonts w:asciiTheme="minorEastAsia" w:eastAsiaTheme="minorEastAsia" w:hAnsiTheme="minorEastAsia"/>
          <w:sz w:val="21"/>
          <w:szCs w:val="21"/>
        </w:rPr>
        <w:t>。该基金会自2013年启动的“TCL希望工程烛光奖计划”已累计资助了</w:t>
      </w:r>
      <w:r w:rsidRPr="00123A12">
        <w:rPr>
          <w:rFonts w:asciiTheme="minorEastAsia" w:eastAsiaTheme="minorEastAsia" w:hAnsiTheme="minorEastAsia"/>
          <w:color w:val="CC3317"/>
          <w:sz w:val="21"/>
          <w:szCs w:val="21"/>
        </w:rPr>
        <w:t>1,800名</w:t>
      </w:r>
      <w:r w:rsidRPr="00123A12">
        <w:rPr>
          <w:rFonts w:asciiTheme="minorEastAsia" w:eastAsiaTheme="minorEastAsia" w:hAnsiTheme="minorEastAsia"/>
          <w:sz w:val="21"/>
          <w:szCs w:val="21"/>
        </w:rPr>
        <w:t>乡村教师，为他们提供现金奖励和教学能力提升培训。TCL公益基金会</w:t>
      </w:r>
      <w:r w:rsidRPr="00123A12">
        <w:rPr>
          <w:rFonts w:asciiTheme="minorEastAsia" w:eastAsiaTheme="minorEastAsia" w:hAnsiTheme="minorEastAsia" w:hint="eastAsia"/>
          <w:sz w:val="21"/>
          <w:szCs w:val="21"/>
        </w:rPr>
        <w:t>还</w:t>
      </w:r>
      <w:r w:rsidRPr="00123A12">
        <w:rPr>
          <w:rFonts w:asciiTheme="minorEastAsia" w:eastAsiaTheme="minorEastAsia" w:hAnsiTheme="minorEastAsia"/>
          <w:sz w:val="21"/>
          <w:szCs w:val="21"/>
        </w:rPr>
        <w:t>携手TCL金融集团发起的</w:t>
      </w:r>
      <w:r w:rsidRPr="00123A12">
        <w:rPr>
          <w:rFonts w:asciiTheme="minorEastAsia" w:eastAsiaTheme="minorEastAsia" w:hAnsiTheme="minorEastAsia"/>
          <w:color w:val="CC3317"/>
          <w:sz w:val="21"/>
          <w:szCs w:val="21"/>
        </w:rPr>
        <w:t>“烛光微贷”项目</w:t>
      </w:r>
      <w:r w:rsidRPr="00123A12">
        <w:rPr>
          <w:rFonts w:asciiTheme="minorEastAsia" w:eastAsiaTheme="minorEastAsia" w:hAnsiTheme="minorEastAsia"/>
          <w:sz w:val="21"/>
          <w:szCs w:val="21"/>
        </w:rPr>
        <w:t>，利用公益加</w:t>
      </w:r>
      <w:proofErr w:type="gramStart"/>
      <w:r w:rsidRPr="00123A12">
        <w:rPr>
          <w:rFonts w:asciiTheme="minorEastAsia" w:eastAsiaTheme="minorEastAsia" w:hAnsiTheme="minorEastAsia"/>
          <w:sz w:val="21"/>
          <w:szCs w:val="21"/>
        </w:rPr>
        <w:t>微金融</w:t>
      </w:r>
      <w:proofErr w:type="gramEnd"/>
      <w:r w:rsidRPr="00123A12">
        <w:rPr>
          <w:rFonts w:asciiTheme="minorEastAsia" w:eastAsiaTheme="minorEastAsia" w:hAnsiTheme="minorEastAsia"/>
          <w:sz w:val="21"/>
          <w:szCs w:val="21"/>
        </w:rPr>
        <w:t>的跨界创新方式，提高工作在一线的乡村教育工作者的生活质量，保证乡村教育的发展。</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sz w:val="21"/>
          <w:szCs w:val="21"/>
        </w:rPr>
      </w:pPr>
    </w:p>
    <w:p w:rsidR="00123A12" w:rsidRPr="00123A12" w:rsidRDefault="00123A12" w:rsidP="00123A12">
      <w:pPr>
        <w:pStyle w:val="a4"/>
        <w:spacing w:before="0" w:beforeAutospacing="0" w:after="0" w:afterAutospacing="0" w:line="360" w:lineRule="auto"/>
        <w:rPr>
          <w:rFonts w:asciiTheme="minorEastAsia" w:eastAsiaTheme="minorEastAsia" w:hAnsiTheme="minorEastAsia"/>
          <w:sz w:val="21"/>
          <w:szCs w:val="21"/>
        </w:rPr>
      </w:pPr>
      <w:r w:rsidRPr="00123A12">
        <w:rPr>
          <w:rFonts w:asciiTheme="minorEastAsia" w:eastAsiaTheme="minorEastAsia" w:hAnsiTheme="minorEastAsia"/>
          <w:sz w:val="21"/>
          <w:szCs w:val="21"/>
        </w:rPr>
        <w:t>由董事长李东生及其夫人魏雪发起的华萌基金资助贫困高中生及大学生</w:t>
      </w:r>
      <w:r w:rsidRPr="00123A12">
        <w:rPr>
          <w:rFonts w:asciiTheme="minorEastAsia" w:eastAsiaTheme="minorEastAsia" w:hAnsiTheme="minorEastAsia"/>
          <w:color w:val="CC3317"/>
          <w:sz w:val="21"/>
          <w:szCs w:val="21"/>
        </w:rPr>
        <w:t>共计1,033名，2018年资助金额超过385万元</w:t>
      </w:r>
      <w:r w:rsidRPr="00123A12">
        <w:rPr>
          <w:rFonts w:asciiTheme="minorEastAsia" w:eastAsiaTheme="minorEastAsia" w:hAnsiTheme="minorEastAsia"/>
          <w:sz w:val="21"/>
          <w:szCs w:val="21"/>
        </w:rPr>
        <w:t>。</w:t>
      </w:r>
    </w:p>
    <w:p w:rsidR="00123A12" w:rsidRPr="00123A12" w:rsidRDefault="00123A12" w:rsidP="00123A12">
      <w:pPr>
        <w:pStyle w:val="a4"/>
        <w:spacing w:before="0" w:beforeAutospacing="0" w:after="0" w:afterAutospacing="0" w:line="360" w:lineRule="auto"/>
        <w:rPr>
          <w:rFonts w:asciiTheme="minorEastAsia" w:eastAsiaTheme="minorEastAsia" w:hAnsiTheme="minorEastAsia"/>
          <w:sz w:val="21"/>
          <w:szCs w:val="21"/>
        </w:rPr>
      </w:pPr>
    </w:p>
    <w:p w:rsidR="00123A12" w:rsidRPr="00123A12" w:rsidRDefault="00123A12" w:rsidP="00123A12">
      <w:pPr>
        <w:pStyle w:val="a4"/>
        <w:spacing w:before="0" w:beforeAutospacing="0" w:after="0" w:afterAutospacing="0" w:line="360" w:lineRule="auto"/>
        <w:rPr>
          <w:rFonts w:asciiTheme="minorEastAsia" w:eastAsiaTheme="minorEastAsia" w:hAnsiTheme="minorEastAsia"/>
          <w:sz w:val="21"/>
          <w:szCs w:val="21"/>
        </w:rPr>
      </w:pPr>
      <w:r w:rsidRPr="00123A12">
        <w:rPr>
          <w:rFonts w:asciiTheme="minorEastAsia" w:eastAsiaTheme="minorEastAsia" w:hAnsiTheme="minorEastAsia"/>
          <w:sz w:val="21"/>
          <w:szCs w:val="21"/>
        </w:rPr>
        <w:t>为了支持员工参与志愿活动，TCL于2015年成立了志愿者协会，并搭建了网络平台，方便志愿者联络、参与活动。</w:t>
      </w:r>
      <w:r w:rsidRPr="00123A12">
        <w:rPr>
          <w:rFonts w:asciiTheme="minorEastAsia" w:eastAsiaTheme="minorEastAsia" w:hAnsiTheme="minorEastAsia"/>
          <w:color w:val="CC3317"/>
          <w:sz w:val="21"/>
          <w:szCs w:val="21"/>
        </w:rPr>
        <w:t>2018年，TCL志愿者协会又新增一家志愿者分会，总数达11家，新增志愿者200余人，在册志愿者964人。此外，平台发起、开展各类志愿活动20场，累计公益时间2,200个多个小时。</w:t>
      </w:r>
      <w:r w:rsidRPr="00123A12">
        <w:rPr>
          <w:rFonts w:asciiTheme="minorEastAsia" w:eastAsiaTheme="minorEastAsia" w:hAnsiTheme="minorEastAsia"/>
          <w:sz w:val="21"/>
          <w:szCs w:val="21"/>
        </w:rPr>
        <w:t>60名员工志愿者骨干，参与开展了3场志愿拓展参访活动，相互联系与交流。</w:t>
      </w:r>
    </w:p>
    <w:p w:rsidR="00123A12" w:rsidRPr="00123A12" w:rsidRDefault="00123A12">
      <w:pPr>
        <w:rPr>
          <w:rFonts w:hint="eastAsia"/>
        </w:rPr>
      </w:pPr>
    </w:p>
    <w:sectPr w:rsidR="00123A12" w:rsidRPr="00123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12"/>
    <w:rsid w:val="000716A1"/>
    <w:rsid w:val="00123A12"/>
    <w:rsid w:val="006B7E23"/>
    <w:rsid w:val="00A22670"/>
    <w:rsid w:val="00AA4710"/>
    <w:rsid w:val="00C67537"/>
    <w:rsid w:val="00CC7035"/>
    <w:rsid w:val="00E453C9"/>
    <w:rsid w:val="00FD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34677-FADB-4FC7-A3DC-5A4697F9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3A12"/>
    <w:rPr>
      <w:b/>
      <w:bCs/>
    </w:rPr>
  </w:style>
  <w:style w:type="paragraph" w:styleId="a4">
    <w:name w:val="Normal (Web)"/>
    <w:basedOn w:val="a"/>
    <w:uiPriority w:val="99"/>
    <w:unhideWhenUsed/>
    <w:rsid w:val="00123A1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23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23418">
      <w:bodyDiv w:val="1"/>
      <w:marLeft w:val="0"/>
      <w:marRight w:val="0"/>
      <w:marTop w:val="0"/>
      <w:marBottom w:val="0"/>
      <w:divBdr>
        <w:top w:val="none" w:sz="0" w:space="0" w:color="auto"/>
        <w:left w:val="none" w:sz="0" w:space="0" w:color="auto"/>
        <w:bottom w:val="none" w:sz="0" w:space="0" w:color="auto"/>
        <w:right w:val="none" w:sz="0" w:space="0" w:color="auto"/>
      </w:divBdr>
    </w:div>
    <w:div w:id="990908910">
      <w:bodyDiv w:val="1"/>
      <w:marLeft w:val="0"/>
      <w:marRight w:val="0"/>
      <w:marTop w:val="0"/>
      <w:marBottom w:val="0"/>
      <w:divBdr>
        <w:top w:val="none" w:sz="0" w:space="0" w:color="auto"/>
        <w:left w:val="none" w:sz="0" w:space="0" w:color="auto"/>
        <w:bottom w:val="none" w:sz="0" w:space="0" w:color="auto"/>
        <w:right w:val="none" w:sz="0" w:space="0" w:color="auto"/>
      </w:divBdr>
    </w:div>
    <w:div w:id="1304506286">
      <w:bodyDiv w:val="1"/>
      <w:marLeft w:val="0"/>
      <w:marRight w:val="0"/>
      <w:marTop w:val="0"/>
      <w:marBottom w:val="0"/>
      <w:divBdr>
        <w:top w:val="none" w:sz="0" w:space="0" w:color="auto"/>
        <w:left w:val="none" w:sz="0" w:space="0" w:color="auto"/>
        <w:bottom w:val="none" w:sz="0" w:space="0" w:color="auto"/>
        <w:right w:val="none" w:sz="0" w:space="0" w:color="auto"/>
      </w:divBdr>
    </w:div>
    <w:div w:id="1391077011">
      <w:bodyDiv w:val="1"/>
      <w:marLeft w:val="0"/>
      <w:marRight w:val="0"/>
      <w:marTop w:val="0"/>
      <w:marBottom w:val="0"/>
      <w:divBdr>
        <w:top w:val="none" w:sz="0" w:space="0" w:color="auto"/>
        <w:left w:val="none" w:sz="0" w:space="0" w:color="auto"/>
        <w:bottom w:val="none" w:sz="0" w:space="0" w:color="auto"/>
        <w:right w:val="none" w:sz="0" w:space="0" w:color="auto"/>
      </w:divBdr>
    </w:div>
    <w:div w:id="1536850846">
      <w:bodyDiv w:val="1"/>
      <w:marLeft w:val="0"/>
      <w:marRight w:val="0"/>
      <w:marTop w:val="0"/>
      <w:marBottom w:val="0"/>
      <w:divBdr>
        <w:top w:val="none" w:sz="0" w:space="0" w:color="auto"/>
        <w:left w:val="none" w:sz="0" w:space="0" w:color="auto"/>
        <w:bottom w:val="none" w:sz="0" w:space="0" w:color="auto"/>
        <w:right w:val="none" w:sz="0" w:space="0" w:color="auto"/>
      </w:divBdr>
    </w:div>
    <w:div w:id="17703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242</Words>
  <Characters>1385</Characters>
  <Application>Microsoft Office Word</Application>
  <DocSecurity>0</DocSecurity>
  <Lines>11</Lines>
  <Paragraphs>3</Paragraphs>
  <ScaleCrop>false</ScaleCrop>
  <Company>Microsoft</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Alex</dc:creator>
  <cp:keywords/>
  <dc:description/>
  <cp:lastModifiedBy>Xie Alex</cp:lastModifiedBy>
  <cp:revision>1</cp:revision>
  <dcterms:created xsi:type="dcterms:W3CDTF">2019-07-05T03:18:00Z</dcterms:created>
  <dcterms:modified xsi:type="dcterms:W3CDTF">2019-07-05T03:26:00Z</dcterms:modified>
</cp:coreProperties>
</file>